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СМОЛЕНСКОЙ ОБЛАСТИ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  <w:t xml:space="preserve">от 4 декабря 2024 г. N 935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ПЕРЕЧНЯ РАСХОДОВ, СВЯЗАННЫХ С УЛУЧШЕНИЕМ</w:t>
      </w:r>
      <w:r/>
    </w:p>
    <w:p>
      <w:pPr>
        <w:pStyle w:val="830"/>
        <w:jc w:val="center"/>
      </w:pPr>
      <w:r>
        <w:rPr>
          <w:sz w:val="24"/>
        </w:rPr>
        <w:t xml:space="preserve">ЖИЛИЩНО-БЫТОВЫХ УСЛОВИЙ ГРАЖДАН, ИМЕЮЩИХ ТРЕХ И БОЛЕЕ ДЕТЕЙ,</w:t>
      </w:r>
      <w:r/>
    </w:p>
    <w:p>
      <w:pPr>
        <w:pStyle w:val="830"/>
        <w:jc w:val="center"/>
      </w:pPr>
      <w:r>
        <w:rPr>
          <w:sz w:val="24"/>
        </w:rPr>
        <w:t xml:space="preserve">ПРОИЗВЕДЕННЫХ УКАЗАННЫМИ ГРАЖДАНАМИ ПОСЛЕ 1 НОЯБРЯ</w:t>
      </w:r>
      <w:r/>
    </w:p>
    <w:p>
      <w:pPr>
        <w:pStyle w:val="830"/>
        <w:jc w:val="center"/>
      </w:pPr>
      <w:r>
        <w:rPr>
          <w:sz w:val="24"/>
        </w:rPr>
        <w:t xml:space="preserve">2024 ГОДА, НА ОПЛАТУ КОТОРЫХ МОЖЕТ БЫТЬ ИСПОЛЬЗОВАНА</w:t>
      </w:r>
      <w:r/>
    </w:p>
    <w:p>
      <w:pPr>
        <w:pStyle w:val="830"/>
        <w:jc w:val="center"/>
      </w:pPr>
      <w:r>
        <w:rPr>
          <w:sz w:val="24"/>
        </w:rPr>
        <w:t xml:space="preserve">ЕДИНОВРЕМЕННАЯ ДЕНЕЖНАЯ КОМПЕНСАЦИЯ ВЗАМЕН ПРЕДОСТАВЛЕНИЯ</w:t>
      </w:r>
      <w:r/>
    </w:p>
    <w:p>
      <w:pPr>
        <w:pStyle w:val="830"/>
        <w:jc w:val="center"/>
      </w:pPr>
      <w:r>
        <w:rPr>
          <w:sz w:val="24"/>
        </w:rPr>
        <w:t xml:space="preserve">ИМ ЗЕМЕЛЬНЫХ УЧАСТКОВ, НАХОДЯЩИХСЯ В ГОСУДАРСТВЕННОЙ</w:t>
      </w:r>
      <w:r/>
    </w:p>
    <w:p>
      <w:pPr>
        <w:pStyle w:val="830"/>
        <w:jc w:val="center"/>
      </w:pPr>
      <w:r>
        <w:rPr>
          <w:sz w:val="24"/>
        </w:rPr>
        <w:t xml:space="preserve">СОБСТВЕННОСТИ СМОЛЕНСКОЙ ОБЛАСТИ, МУНИЦИПАЛЬНОЙ</w:t>
      </w:r>
      <w:r/>
    </w:p>
    <w:p>
      <w:pPr>
        <w:pStyle w:val="830"/>
        <w:jc w:val="center"/>
      </w:pPr>
      <w:r>
        <w:rPr>
          <w:sz w:val="24"/>
        </w:rPr>
        <w:t xml:space="preserve">СОБСТВЕННОСТИ, ЗЕМЕЛЬНЫХ УЧАСТКОВ, ГОСУДАРСТВЕННАЯ</w:t>
      </w:r>
      <w:r/>
    </w:p>
    <w:p>
      <w:pPr>
        <w:pStyle w:val="830"/>
        <w:jc w:val="center"/>
      </w:pPr>
      <w:r>
        <w:rPr>
          <w:sz w:val="24"/>
        </w:rPr>
        <w:t xml:space="preserve">СОБСТВЕННОСТЬ НА КОТОРЫЕ НЕ РАЗГРАНИЧЕНА, А ТАКЖЕ ЗЕМЕЛЬНЫХ</w:t>
      </w:r>
      <w:r/>
    </w:p>
    <w:p>
      <w:pPr>
        <w:pStyle w:val="830"/>
        <w:jc w:val="center"/>
      </w:pPr>
      <w:r>
        <w:rPr>
          <w:sz w:val="24"/>
        </w:rPr>
        <w:t xml:space="preserve">УЧАСТКОВ, НАХОДЯЩИХСЯ В ФЕДЕРАЛЬНОЙ СОБСТВЕННОСТИ,</w:t>
      </w:r>
      <w:r/>
    </w:p>
    <w:p>
      <w:pPr>
        <w:pStyle w:val="830"/>
        <w:jc w:val="center"/>
      </w:pPr>
      <w:r>
        <w:rPr>
          <w:sz w:val="24"/>
        </w:rPr>
        <w:t xml:space="preserve">ПОЛНОМОЧИЯ ПО УПРАВЛЕНИЮ И РАСПОРЯЖЕНИЮ КОТОРЫМИ ПЕРЕДАНЫ</w:t>
      </w:r>
      <w:r/>
    </w:p>
    <w:p>
      <w:pPr>
        <w:pStyle w:val="830"/>
        <w:jc w:val="center"/>
      </w:pPr>
      <w:r>
        <w:rPr>
          <w:sz w:val="24"/>
        </w:rPr>
        <w:t xml:space="preserve">ОРГАНАМ ГОСУДАРСТВЕННОЙ ВЛАСТИ СМОЛЕНСКОЙ ОБЛАСТИ В ЦЕЛЯХ</w:t>
      </w:r>
      <w:r/>
    </w:p>
    <w:p>
      <w:pPr>
        <w:pStyle w:val="830"/>
        <w:jc w:val="center"/>
      </w:pPr>
      <w:r>
        <w:rPr>
          <w:sz w:val="24"/>
        </w:rPr>
        <w:t xml:space="preserve">БЕСПЛАТНОГО ПРЕДОСТАВЛЕНИЯ ТАКИХ ЗЕМЕЛЬНЫХ УЧАСТКОВ</w:t>
      </w:r>
      <w:r/>
    </w:p>
    <w:p>
      <w:pPr>
        <w:pStyle w:val="830"/>
        <w:jc w:val="center"/>
      </w:pPr>
      <w:r>
        <w:rPr>
          <w:sz w:val="24"/>
        </w:rPr>
        <w:t xml:space="preserve">ГРАЖДАНАМ, ИМЕЮЩИМ ТРЕХ И БОЛЕЕ ДЕТЕЙ, ДЛЯ ЖИЛИЩНОГО</w:t>
      </w:r>
      <w:r/>
    </w:p>
    <w:p>
      <w:pPr>
        <w:pStyle w:val="830"/>
        <w:jc w:val="center"/>
      </w:pPr>
      <w:r>
        <w:rPr>
          <w:sz w:val="24"/>
        </w:rPr>
        <w:t xml:space="preserve">СТРОИТЕЛЬСТВА, В СОБСТВЕННОСТЬ БЕСПЛАТНО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8" w:tooltip="Постановление Правительства Смоленской области от 02.10.2025 N 590 &quot;О внесении изменений в перечень расходов, связанных с улучшением жилищно-бытовых условий граждан, имеющих трех и более детей, произведенных указанными гражданами после 1 ноября 2024 года, на оплату которых может быть использована единовременная денежная компенсация взамен предоставления им земельных участков, находящихся в государственной собственности Смоленской области, муниципальной собственности, земельных участков, государственная собс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Смоленской области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02.10.2025 N 590)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 </w:t>
      </w:r>
      <w:hyperlink r:id="rId9" w:tooltip="Закон Смоленской области от 28.09.2012 N 67-з (ред. от 18.12.2025) &quot;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&quot; (принят Смоленской областной Думой 27.09.2012) {КонсультантПлюс}" w:history="1">
        <w:r>
          <w:rPr>
            <w:color w:val="0000ff"/>
            <w:sz w:val="24"/>
          </w:rPr>
          <w:t xml:space="preserve">пунктом 10 части 3 статьи 3.1</w:t>
        </w:r>
      </w:hyperlink>
      <w:r>
        <w:rPr>
          <w:sz w:val="24"/>
        </w:rPr>
        <w:t xml:space="preserve"> областного закона "О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области" Правительство Смоленской области постановляет: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Утвердить прилагаемый </w:t>
      </w:r>
      <w:hyperlink w:tooltip="ПЕРЕЧЕНЬ" w:anchor="P42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расходов, свя</w:t>
      </w:r>
      <w:r>
        <w:rPr>
          <w:sz w:val="24"/>
        </w:rPr>
        <w:t xml:space="preserve">занных с улучшением жилищно-бытовых условий граждан, имеющих трех и более детей, произведенных указанными гражданами после </w:t>
        <w:br/>
        <w:t xml:space="preserve">1 ноября 2024 года, на оплату которых может быть использована единовременная денежная компенсация взамен предоставления им земельных </w:t>
      </w:r>
      <w:r>
        <w:rPr>
          <w:sz w:val="24"/>
        </w:rPr>
        <w:t xml:space="preserve">участков, находящихся в государственной собственности Смоленской области, муниципальной собственности, земельных участков, государственная собственность на которые не разграничена, а также земельных участков, находящихся в федеральной собственности, полном</w:t>
      </w:r>
      <w:r>
        <w:rPr>
          <w:sz w:val="24"/>
        </w:rPr>
        <w:t xml:space="preserve">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гражданам, имеющим трех и более детей, для жилищного строительства, в собственность бесплатно.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Губернатор</w:t>
      </w:r>
      <w:r/>
    </w:p>
    <w:p>
      <w:pPr>
        <w:pStyle w:val="828"/>
        <w:jc w:val="right"/>
      </w:pPr>
      <w:r>
        <w:rPr>
          <w:sz w:val="24"/>
        </w:rPr>
        <w:t xml:space="preserve">Смоленской области</w:t>
      </w:r>
      <w:r/>
    </w:p>
    <w:p>
      <w:pPr>
        <w:pStyle w:val="828"/>
        <w:jc w:val="right"/>
      </w:pPr>
      <w:r>
        <w:rPr>
          <w:sz w:val="24"/>
        </w:rPr>
        <w:t xml:space="preserve">В.Н.АНОХИН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8"/>
        <w:jc w:val="right"/>
      </w:pPr>
      <w:r>
        <w:rPr>
          <w:sz w:val="24"/>
        </w:rPr>
        <w:t xml:space="preserve">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Смоленской области</w:t>
      </w:r>
      <w:r/>
    </w:p>
    <w:p>
      <w:pPr>
        <w:pStyle w:val="828"/>
        <w:jc w:val="right"/>
      </w:pPr>
      <w:r>
        <w:rPr>
          <w:sz w:val="24"/>
        </w:rPr>
        <w:t xml:space="preserve">от 04.12.2024 N 935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2" w:name="P42"/>
      <w:r/>
      <w:bookmarkEnd w:id="42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РАСХОДОВ, СВЯЗАННЫХ С УЛУЧШЕНИЕМ ЖИЛИЩНО-БЫТОВЫХ УСЛОВИЙ</w:t>
      </w:r>
      <w:r/>
    </w:p>
    <w:p>
      <w:pPr>
        <w:pStyle w:val="830"/>
        <w:jc w:val="center"/>
      </w:pPr>
      <w:r>
        <w:rPr>
          <w:sz w:val="24"/>
        </w:rPr>
        <w:t xml:space="preserve">ГРАЖДАН, ИМЕЮЩИХ ТРЕХ И БОЛЕЕ ДЕТЕЙ, ПРОИЗВЕДЕННЫХ</w:t>
      </w:r>
      <w:r/>
    </w:p>
    <w:p>
      <w:pPr>
        <w:pStyle w:val="830"/>
        <w:jc w:val="center"/>
      </w:pPr>
      <w:r>
        <w:rPr>
          <w:sz w:val="24"/>
        </w:rPr>
        <w:t xml:space="preserve">УКАЗАННЫМИ ГРАЖДАНАМИ ПОСЛЕ 1 НОЯБРЯ 2024 ГОДА, НА ОПЛАТУ</w:t>
      </w:r>
      <w:r/>
    </w:p>
    <w:p>
      <w:pPr>
        <w:pStyle w:val="830"/>
        <w:jc w:val="center"/>
      </w:pPr>
      <w:r>
        <w:rPr>
          <w:sz w:val="24"/>
        </w:rPr>
        <w:t xml:space="preserve">КОТОРЫХ МОЖЕТ БЫТЬ ИСПОЛЬЗОВАНА ЕДИНОВРЕМЕННАЯ ДЕНЕЖНАЯ</w:t>
      </w:r>
      <w:r/>
    </w:p>
    <w:p>
      <w:pPr>
        <w:pStyle w:val="830"/>
        <w:jc w:val="center"/>
      </w:pPr>
      <w:r>
        <w:rPr>
          <w:sz w:val="24"/>
        </w:rPr>
        <w:t xml:space="preserve">КОМПЕНСАЦИЯ ВЗАМЕН ПРЕДОСТАВЛЕНИЯ ИМ ЗЕМЕЛЬНЫХ УЧАСТКОВ,</w:t>
      </w:r>
      <w:r/>
    </w:p>
    <w:p>
      <w:pPr>
        <w:pStyle w:val="830"/>
        <w:jc w:val="center"/>
      </w:pPr>
      <w:r>
        <w:rPr>
          <w:sz w:val="24"/>
        </w:rPr>
        <w:t xml:space="preserve">НАХОДЯЩИХСЯ В ГОСУДАРСТВЕННОЙ СОБСТВЕННОСТИ СМОЛЕНСКОЙ</w:t>
      </w:r>
      <w:r/>
    </w:p>
    <w:p>
      <w:pPr>
        <w:pStyle w:val="830"/>
        <w:jc w:val="center"/>
      </w:pPr>
      <w:r>
        <w:rPr>
          <w:sz w:val="24"/>
        </w:rPr>
        <w:t xml:space="preserve">ОБЛАСТИ, МУНИЦИПАЛЬНОЙ СОБСТВЕННОСТИ, ЗЕМЕЛЬНЫХ УЧАСТКОВ,</w:t>
      </w:r>
      <w:r/>
    </w:p>
    <w:p>
      <w:pPr>
        <w:pStyle w:val="830"/>
        <w:jc w:val="center"/>
      </w:pPr>
      <w:r>
        <w:rPr>
          <w:sz w:val="24"/>
        </w:rPr>
        <w:t xml:space="preserve">ГОСУДАРСТВЕННАЯ СОБСТВЕННОСТЬ НА КОТОРЫЕ НЕ РАЗГРАНИЧЕНА,</w:t>
      </w:r>
      <w:r/>
    </w:p>
    <w:p>
      <w:pPr>
        <w:pStyle w:val="830"/>
        <w:jc w:val="center"/>
      </w:pPr>
      <w:r>
        <w:rPr>
          <w:sz w:val="24"/>
        </w:rPr>
        <w:t xml:space="preserve">А ТАКЖЕ ЗЕМЕЛЬНЫХ УЧАСТКОВ, НАХОДЯЩИХСЯ В ФЕДЕРАЛЬНОЙ</w:t>
      </w:r>
      <w:r/>
    </w:p>
    <w:p>
      <w:pPr>
        <w:pStyle w:val="830"/>
        <w:jc w:val="center"/>
      </w:pPr>
      <w:r>
        <w:rPr>
          <w:sz w:val="24"/>
        </w:rPr>
        <w:t xml:space="preserve">СОБСТВЕННОСТИ, ПОЛНОМОЧИЯ ПО УПРАВЛЕНИЮ И РАСПОРЯЖЕНИЮ</w:t>
      </w:r>
      <w:r/>
    </w:p>
    <w:p>
      <w:pPr>
        <w:pStyle w:val="830"/>
        <w:jc w:val="center"/>
      </w:pPr>
      <w:r>
        <w:rPr>
          <w:sz w:val="24"/>
        </w:rPr>
        <w:t xml:space="preserve">КОТОРЫМИ ПЕРЕДАНЫ ОРГАНАМ ГОСУДАРСТВЕННОЙ ВЛАСТИ СМОЛЕНСКОЙ</w:t>
      </w:r>
      <w:r/>
    </w:p>
    <w:p>
      <w:pPr>
        <w:pStyle w:val="830"/>
        <w:jc w:val="center"/>
      </w:pPr>
      <w:r>
        <w:rPr>
          <w:sz w:val="24"/>
        </w:rPr>
        <w:t xml:space="preserve">ОБЛАСТИ В ЦЕЛЯХ БЕСПЛАТНОГО ПРЕДОСТАВЛЕНИЯ ТАКИХ ЗЕМЕЛЬНЫХ</w:t>
      </w:r>
      <w:r/>
    </w:p>
    <w:p>
      <w:pPr>
        <w:pStyle w:val="830"/>
        <w:jc w:val="center"/>
      </w:pPr>
      <w:r>
        <w:rPr>
          <w:sz w:val="24"/>
        </w:rPr>
        <w:t xml:space="preserve">УЧАСТКОВ ГРАЖДАНАМ, ИМЕЮЩИМ ТРЕХ И БОЛЕЕ ДЕТЕЙ,</w:t>
      </w:r>
      <w:r/>
    </w:p>
    <w:p>
      <w:pPr>
        <w:pStyle w:val="830"/>
        <w:jc w:val="center"/>
      </w:pPr>
      <w:r>
        <w:rPr>
          <w:sz w:val="24"/>
        </w:rPr>
        <w:t xml:space="preserve">ДЛЯ ЖИЛИЩНОГО СТРОИТЕЛЬСТВА, В СОБСТВЕННОСТЬ БЕСПЛАТНО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10" w:tooltip="Постановление Правительства Смоленской области от 02.10.2025 N 590 &quot;О внесении изменений в перечень расходов, связанных с улучшением жилищно-бытовых условий граждан, имеющих трех и более детей, произведенных указанными гражданами после 1 ноября 2024 года, на оплату которых может быть использована единовременная денежная компенсация взамен предоставления им земельных участков, находящихся в государственной собственности Смоленской области, муниципальной собственности, земельных участков, государственная собс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Смоленской области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02.10.2025 N 590)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4"/>
        <w:gridCol w:w="3912"/>
        <w:gridCol w:w="4535"/>
      </w:tblGrid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Наименование расходов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Наименование товаров, связанных с улучшением жилищно-бытовых условий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Приобретение мебели и предметов обстановки, включая: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1.1.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Мебель для кухни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гарнитуры и отдельные предметы мебели для кухни (например, буфеты, кухонные уголки, столы, полки, колонки, табуреты)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1.2.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Мебель для спальни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кровати, диваны, гарнитуры для спальни, пружинные и ортопедические матрасы (кроме оснований для ортопедических матрасов)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1.3.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Гарнитуры для гостиных и столовых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гарнитуры для гостиных и столовых, включая наборы корпусной мебели ("стенка")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1.4.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Столы, стулья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столы (обеденные, письменные, компьютерные), стулья всех видов (кроме табуретов)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1.5.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Шкафы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шкафы для одежды, белья, посуды и книг, шкафы-купе, комоды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1.6.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Мебель для детей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мебель для детей, включая гарнитуры для детской комнаты, отдельные предметы мебели для детей, детская мебель (например, колыбели, высокие детские стульчики, манежи), кроме детских колясок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Приобретение бытовой техники, включая: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Холодильники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холодильники всех типов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Морозильные камеры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морозильные камеры всех типов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Газовые, электрические плиты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газовые, электрические плиты (с духовым шкафом)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2.4.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Варочные панели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варочные панели (электрические, газовые, электрогазовые)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2.5.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Духовые шкафы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духовые шкафы электрические, газовые, конвекционные, комбинированные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2.6.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Микроволновые печи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микроволновые печи, включая микроволновые печи с грилем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2.7.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Посудомоечные машины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посудомоечные машины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2.8.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Вытяжки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вытяжки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2.9.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Стиральные машины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стиральные машины автоматические и полуавтоматические с вертикальной и фронтальной загрузкой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2.10.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Сушильные машины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сушильные машины, включая барабанные сушилки, сушильные шкафы, сушильные радиаторы, центрифуги для отжима белья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2.11.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Кондиционеры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кондиционеры и сплит-системы, включая вентиляторы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2.12.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Водонагреватели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водонагреватели (газовые, электрические, бойлеры)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2.13.</w:t>
            </w:r>
            <w:r/>
          </w:p>
        </w:tc>
        <w:tc>
          <w:tcPr>
            <w:tcBorders>
              <w:bottom w:val="non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Пылесосы</w:t>
            </w:r>
            <w:r/>
          </w:p>
        </w:tc>
        <w:tc>
          <w:tcPr>
            <w:tcBorders>
              <w:bottom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пылесосы, включая робот-пылесос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3"/>
            <w:tcBorders>
              <w:top w:val="none" w:color="000000" w:sz="4" w:space="0"/>
            </w:tcBorders>
            <w:tcW w:w="905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(пп. 2.13 введен </w:t>
            </w:r>
            <w:hyperlink r:id="rId11" w:tooltip="Постановление Правительства Смоленской области от 02.10.2025 N 590 &quot;О внесении изменений в перечень расходов, связанных с улучшением жилищно-бытовых условий граждан, имеющих трех и более детей, произведенных указанными гражданами после 1 ноября 2024 года, на оплату которых может быть использована единовременная денежная компенсация взамен предоставления им земельных участков, находящихся в государственной собственности Смоленской области, муниципальной собственности, земельных участков, государственная собс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Смоленской области от 02.10.2025 </w:t>
              <w:br/>
              <w:t xml:space="preserve">N 590)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2.14.</w:t>
            </w:r>
            <w:r/>
          </w:p>
        </w:tc>
        <w:tc>
          <w:tcPr>
            <w:tcBorders>
              <w:bottom w:val="non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Утюги</w:t>
            </w:r>
            <w:r/>
          </w:p>
        </w:tc>
        <w:tc>
          <w:tcPr>
            <w:tcBorders>
              <w:bottom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утюги, включая парогенератор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3"/>
            <w:tcBorders>
              <w:top w:val="none" w:color="000000" w:sz="4" w:space="0"/>
            </w:tcBorders>
            <w:tcW w:w="905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(пп. 2.14 введен </w:t>
            </w:r>
            <w:hyperlink r:id="rId12" w:tooltip="Постановление Правительства Смоленской области от 02.10.2025 N 590 &quot;О внесении изменений в перечень расходов, связанных с улучшением жилищно-бытовых условий граждан, имеющих трех и более детей, произведенных указанными гражданами после 1 ноября 2024 года, на оплату которых может быть использована единовременная денежная компенсация взамен предоставления им земельных участков, находящихся в государственной собственности Смоленской области, муниципальной собственности, земельных участков, государственная собс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Смоленской области от 02.10.2025 </w:t>
              <w:br/>
              <w:t xml:space="preserve">N 590)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Приобретение оборудования для информации и коммуникации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компьютеры, ноутбуки, планшеты, телевизоры, устройства "радионяня", включая устройства с несколькими функциями, смартфоны</w:t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Приобретение отопительного оборудования, включая: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4.1.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Котлы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котлы (газовые, электрические)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4.2.</w:t>
            </w:r>
            <w:r/>
          </w:p>
        </w:tc>
        <w:tc>
          <w:tcPr>
            <w:tcBorders>
              <w:bottom w:val="non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Радиаторы</w:t>
            </w:r>
            <w:r/>
          </w:p>
        </w:tc>
        <w:tc>
          <w:tcPr>
            <w:tcBorders>
              <w:bottom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радиаторы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3"/>
            <w:tcBorders>
              <w:top w:val="none" w:color="000000" w:sz="4" w:space="0"/>
            </w:tcBorders>
            <w:tcW w:w="905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(п. 4 введен </w:t>
            </w:r>
            <w:hyperlink r:id="rId13" w:tooltip="Постановление Правительства Смоленской области от 02.10.2025 N 590 &quot;О внесении изменений в перечень расходов, связанных с улучшением жилищно-бытовых условий граждан, имеющих трех и более детей, произведенных указанными гражданами после 1 ноября 2024 года, на оплату которых может быть использована единовременная денежная компенсация взамен предоставления им земельных участков, находящихся в государственной собственности Смоленской области, муниципальной собственности, земельных участков, государственная собс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Смоленской области от 02.10.2025 N 590)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161" w:default="1">
    <w:name w:val="Default Paragraph Font"/>
    <w:uiPriority w:val="1"/>
    <w:semiHidden/>
    <w:unhideWhenUsed/>
  </w:style>
  <w:style w:type="numbering" w:styleId="2162" w:default="1">
    <w:name w:val="No List"/>
    <w:uiPriority w:val="99"/>
    <w:semiHidden/>
    <w:unhideWhenUsed/>
  </w:style>
  <w:style w:type="table" w:styleId="21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376&amp;n=157316&amp;date=14.04.2026&amp;dst=100005&amp;field=134" TargetMode="External"/><Relationship Id="rId9" Type="http://schemas.openxmlformats.org/officeDocument/2006/relationships/hyperlink" Target="https://login.consultant.ru/link/?req=doc&amp;base=RLAW376&amp;n=159132&amp;date=14.04.2026&amp;dst=100191&amp;field=134" TargetMode="External"/><Relationship Id="rId10" Type="http://schemas.openxmlformats.org/officeDocument/2006/relationships/hyperlink" Target="https://login.consultant.ru/link/?req=doc&amp;base=RLAW376&amp;n=157316&amp;date=14.04.2026&amp;dst=100005&amp;field=134" TargetMode="External"/><Relationship Id="rId11" Type="http://schemas.openxmlformats.org/officeDocument/2006/relationships/hyperlink" Target="https://login.consultant.ru/link/?req=doc&amp;base=RLAW376&amp;n=157316&amp;date=14.04.2026&amp;dst=100006&amp;field=134" TargetMode="External"/><Relationship Id="rId12" Type="http://schemas.openxmlformats.org/officeDocument/2006/relationships/hyperlink" Target="https://login.consultant.ru/link/?req=doc&amp;base=RLAW376&amp;n=157316&amp;date=14.04.2026&amp;dst=100010&amp;field=134" TargetMode="External"/><Relationship Id="rId13" Type="http://schemas.openxmlformats.org/officeDocument/2006/relationships/hyperlink" Target="https://login.consultant.ru/link/?req=doc&amp;base=RLAW376&amp;n=157316&amp;date=14.04.2026&amp;dst=100013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04.12.2024 N 935
(ред. от 02.10.2025)
"Об утверждении перечня расходов, связанных с улучшением жилищно-бытовых условий граждан, имеющих трех и более детей, произведенных указанными гражданами после 1 ноября 2024 года, на оплату которых может быть использована единовременная денежная компенсация взамен предоставления им земельных участков, находящихся в государственной собственности Смоленской области, муниципальной собственности, земельных участков, государс</dc:title>
  <cp:lastModifiedBy>user</cp:lastModifiedBy>
  <cp:revision>1</cp:revision>
  <dcterms:created xsi:type="dcterms:W3CDTF">2026-04-14T07:44:18Z</dcterms:created>
  <dcterms:modified xsi:type="dcterms:W3CDTF">2026-04-14T08:07:42Z</dcterms:modified>
</cp:coreProperties>
</file>